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30355" w:rsidR="00C30355" w:rsidP="6032B6B3" w:rsidRDefault="00C30355" w14:paraId="47B85E77" w14:textId="539DD078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6032B6B3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8C29C6" w14:paraId="21D268B2" w14:textId="0A3EA7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Historia obszaru językowego II</w:t>
            </w:r>
            <w:r>
              <w:rPr>
                <w:rFonts w:ascii="Arial" w:hAnsi="Arial" w:cs="Arial"/>
                <w:sz w:val="20"/>
                <w:szCs w:val="20"/>
              </w:rPr>
              <w:t xml:space="preserve"> (Hiszpania)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8C29C6" w14:paraId="067D73FD" w14:textId="31780DB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F5CC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History of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Spanish Language Area</w:t>
            </w:r>
            <w:r w:rsidRPr="000F5CC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II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(Spain)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64F2C973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8C29C6" w14:paraId="662B5190" w14:textId="33ACD5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64F2C973" w14:paraId="1883F944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00872B1C" w:rsidRDefault="008C29C6" w14:paraId="3AA1ADD6" w14:textId="3C7B2F1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F2C973" w:rsidR="037F89B6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8C29C6" w14:paraId="35D48076" w14:textId="4DDADA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C29C6" w:rsidP="008C29C6" w:rsidRDefault="008C29C6" w14:paraId="0304F52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Celem kursu jest zapoznanie uczestników z dziejami Hiszpanii od połowy XVIII w. do czasów współczesnych (panowania Juana Carlosa I). Studenci śledzą kolejne etapy transformacji tego państwa w wielu dziedzinach, zwłaszcza ustroju, ekonomii, szeroko pojętej kultury, obyczajowości, polityki i dyplomacji na tle podobnych przemian mających miejsce w ówczesnej Europie, czyli także w Polsce. Część tematów w szczególny sposób kładzie nacisk na paralelizmy polsko-hiszpańskie oraz na analizę związków polsko-hiszpańskich XVIII/XIX – XXI w.</w:t>
            </w:r>
          </w:p>
          <w:p w:rsidRPr="006A1D6B" w:rsidR="00E8425D" w:rsidP="003118EE" w:rsidRDefault="00E8425D" w14:paraId="03DF087B" w14:textId="60062F98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647E24A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2486C0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8C29C6" w14:paraId="4101652C" w14:textId="1DC231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7160D556">
              <w:rPr>
                <w:rFonts w:ascii="Arial" w:hAnsi="Arial" w:cs="Arial"/>
                <w:sz w:val="20"/>
                <w:szCs w:val="20"/>
              </w:rPr>
              <w:t xml:space="preserve">Znajomość Historii Hiszpanii z poprzedniego semestru tj. do płowy XVIII w. Znajomość Polski i Powszechnej oraz Historii Kultury na poziomie </w:t>
            </w:r>
            <w:r w:rsidRPr="7160D556" w:rsidR="7B925FE0">
              <w:rPr>
                <w:rFonts w:ascii="Arial" w:hAnsi="Arial" w:cs="Arial"/>
                <w:sz w:val="20"/>
                <w:szCs w:val="20"/>
              </w:rPr>
              <w:t>szkoły średniej</w:t>
            </w:r>
          </w:p>
        </w:tc>
      </w:tr>
      <w:tr w:rsidRPr="006A1D6B" w:rsidR="00280766" w:rsidTr="2647E24A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8C29C6" w14:paraId="4B99056E" w14:textId="4BDE7C1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Pogłębiona umiejętność czytania i analizy źródeł historycznych (listów, dokumentów, pamiętników, etc.) oraz naukowej literatury historycznej.</w:t>
            </w:r>
          </w:p>
          <w:p w:rsidRPr="006A1D6B" w:rsidR="00280766" w:rsidP="003118EE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647E24A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8C29C6" w:rsidRDefault="008C29C6" w14:paraId="4DDBEF00" w14:textId="04ED09F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 xml:space="preserve">Kurs z Historii obszaru językowego </w:t>
            </w:r>
            <w:r w:rsidRPr="2647E24A" w:rsidR="77C069A3">
              <w:rPr>
                <w:rFonts w:ascii="Arial" w:hAnsi="Arial" w:cs="Arial"/>
                <w:sz w:val="20"/>
                <w:szCs w:val="20"/>
              </w:rPr>
              <w:t>I semestr</w:t>
            </w: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2647E24A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2647E24A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56D8762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0F5CC9" w:rsidR="008C29C6" w:rsidP="008C29C6" w:rsidRDefault="008C29C6" w14:paraId="493AA684" w14:textId="68B905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Znajomość Historii Hiszpanii XVIII/XIX-XXI w</w:t>
            </w:r>
            <w:r w:rsidRPr="2647E24A" w:rsidR="50F37701">
              <w:rPr>
                <w:rFonts w:ascii="Arial" w:hAnsi="Arial" w:cs="Arial"/>
                <w:sz w:val="20"/>
                <w:szCs w:val="20"/>
              </w:rPr>
              <w:t>., którą jest w stanie rozwijać twórczo w działalności profesjonalnej</w:t>
            </w:r>
            <w:r w:rsidRPr="2647E24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C29C6" w:rsidP="008C29C6" w:rsidRDefault="008C29C6" w14:paraId="6A12EDB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F5CC9" w:rsidR="008C29C6" w:rsidP="008C29C6" w:rsidRDefault="008C29C6" w14:paraId="7335940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0F5CC9">
              <w:rPr>
                <w:rFonts w:ascii="Arial" w:hAnsi="Arial" w:cs="Arial"/>
                <w:sz w:val="20"/>
                <w:szCs w:val="20"/>
              </w:rPr>
              <w:t>wiadomość po</w:t>
            </w:r>
            <w:r w:rsidRPr="000F5CC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wiązań Historii Hiszpanii omawianego okresu z dziejami Europy i świata oraz z innymi dziedzinami i dyscyplinami nauk humanistycznych (historią sztuki, literaturą, socjologią, polityką, etc.)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  <w:p w:rsidR="008C29C6" w:rsidP="008C29C6" w:rsidRDefault="008C29C6" w14:paraId="697D1D5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8C29C6" w:rsidP="008C29C6" w:rsidRDefault="008C29C6" w14:paraId="7FDABCF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0F5CC9">
              <w:rPr>
                <w:rFonts w:ascii="Arial" w:hAnsi="Arial" w:cs="Arial"/>
                <w:sz w:val="20"/>
                <w:szCs w:val="20"/>
              </w:rPr>
              <w:t>panowanie podstawowej terminologii historycznej z omawianego okresu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0A2EEC" w:rsidP="008C29C6" w:rsidRDefault="000A2EEC" w14:paraId="34CE0A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669DD833" w14:textId="2C456D12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K1_W0</w:t>
            </w:r>
            <w:r w:rsidRPr="2647E24A" w:rsidR="09F6AEBA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8C29C6" w:rsidP="008C29C6" w:rsidRDefault="008C29C6" w14:paraId="507C1B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4447650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Pr="000F5CC9" w:rsidR="008C29C6" w:rsidP="008C29C6" w:rsidRDefault="008C29C6" w14:paraId="01FB9D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2CE5710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792DBF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6B1119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8C29C6" w:rsidRDefault="008C29C6" w14:paraId="110FFD37" w14:textId="09FEFD42">
            <w:pPr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4EAB2F3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0F5CC9" w:rsidR="008C29C6" w:rsidP="008C29C6" w:rsidRDefault="008C29C6" w14:paraId="183FF5A7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0F5CC9">
              <w:rPr>
                <w:rFonts w:ascii="Arial" w:hAnsi="Arial" w:cs="Arial"/>
                <w:sz w:val="20"/>
                <w:szCs w:val="20"/>
              </w:rPr>
              <w:t>dobycie umiejętności</w:t>
            </w:r>
            <w:r w:rsidRPr="000F5CC9">
              <w:rPr>
                <w:rFonts w:ascii="Arial" w:hAnsi="Arial" w:eastAsia="MyriadPro-Regular" w:cs="Arial"/>
                <w:sz w:val="20"/>
                <w:szCs w:val="20"/>
              </w:rPr>
              <w:t xml:space="preserve"> wyszukiwania, analizowania, oceniania, selekcjonowania informacji z zakresu Historii Hiszpanii nowożytnej i XIX-XXI w. z wykorzystaniem różnych źródeł historycznych</w:t>
            </w:r>
            <w:r>
              <w:rPr>
                <w:rFonts w:ascii="Arial" w:hAnsi="Arial" w:eastAsia="MyriadPro-Regular" w:cs="Arial"/>
                <w:sz w:val="20"/>
                <w:szCs w:val="20"/>
              </w:rPr>
              <w:t>.</w:t>
            </w:r>
          </w:p>
          <w:p w:rsidR="008C29C6" w:rsidP="008C29C6" w:rsidRDefault="008C29C6" w14:paraId="68BFCDE0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0F5CC9" w:rsidR="008C29C6" w:rsidP="008C29C6" w:rsidRDefault="008C29C6" w14:paraId="2149EBC9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</w:t>
            </w:r>
            <w:r w:rsidRPr="000F5CC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miejętność samodzielnego zdobywania wiedzy historycznej i wykorzystywania jej w praktyce (np. podczas zwiedzania zabytków, muzeów, czytania prac literackich o tematyce historycz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nej, analizowania dzieł sztuki).</w:t>
            </w:r>
          </w:p>
          <w:p w:rsidRPr="006A1D6B" w:rsidR="000A2EEC" w:rsidP="008C29C6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F5CC9" w:rsidR="008C29C6" w:rsidP="008C29C6" w:rsidRDefault="008C29C6" w14:paraId="2E5467C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0F5CC9" w:rsidR="008C29C6" w:rsidP="008C29C6" w:rsidRDefault="008C29C6" w14:paraId="771D0F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30E40C4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9C6" w:rsidP="008C29C6" w:rsidRDefault="008C29C6" w14:paraId="37B6D1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7B93354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596F605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K1_U01, K1_U04</w:t>
            </w:r>
          </w:p>
          <w:p w:rsidRPr="006A1D6B" w:rsidR="00280766" w:rsidRDefault="00280766" w14:paraId="619E29D8" w14:textId="7CB7EA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2647E24A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2647E24A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2E06780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A66761" w:rsidR="008C29C6" w:rsidP="008C29C6" w:rsidRDefault="008C29C6" w14:paraId="493846A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Uczestniczy w życiu kulturalnym, korzystając z różnych mediów i różnych jego form.</w:t>
            </w:r>
          </w:p>
          <w:p w:rsidRPr="006A1D6B" w:rsidR="00280766" w:rsidRDefault="00280766" w14:paraId="2DFEFBC8" w14:textId="504DE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F5CC9" w:rsidR="008C29C6" w:rsidP="008C29C6" w:rsidRDefault="008C29C6" w14:paraId="1D24AC1C" w14:textId="6B41F2BC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K1_K0</w:t>
            </w:r>
            <w:r w:rsidRPr="2647E24A" w:rsidR="0BE5867B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A1D6B" w:rsidR="00280766" w:rsidRDefault="00280766" w14:paraId="1EC49EEF" w14:textId="586383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C29C6" w14:paraId="17AD93B2" w14:textId="1D5F80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3CFEC6B" w14:textId="2076A91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474E32E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6B185D">
              <w:rPr>
                <w:rFonts w:ascii="Arial" w:hAnsi="Arial" w:cs="Arial"/>
                <w:sz w:val="20"/>
                <w:szCs w:val="20"/>
              </w:rPr>
              <w:t>z elementami dyskusji.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647E24A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647E24A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6B37F913" w14:paraId="1D9616CD" w14:textId="6227474B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6F77639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1A965116" w14:textId="68AF24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2647E24A" w:rsidRDefault="003118EE" w14:paraId="7451D50A" w14:textId="40067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6A1D6B" w:rsidR="003118EE" w:rsidP="2647E24A" w:rsidRDefault="597F9D32" w14:paraId="4ED93E4C" w14:textId="3B288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2647E24A" w:rsidRDefault="1C027E2A" w14:paraId="5BFC1723" w14:textId="5262BBEF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  <w:p w:rsidRPr="00997E91" w:rsidR="003118EE" w:rsidP="2647E24A" w:rsidRDefault="76B4C33C" w14:paraId="4B9B05D7" w14:textId="60710A99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52341A4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2647E24A" w:rsidRDefault="1C027E2A" w14:paraId="288506C3" w14:textId="5508967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  <w:p w:rsidRPr="006A1D6B" w:rsidR="003118EE" w:rsidP="2647E24A" w:rsidRDefault="1E1CF2C3" w14:paraId="2DE403A5" w14:textId="76A5401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2534C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33E00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4F904CB7" w14:textId="168A0EA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5DE25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33C38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2FC17F8B" w14:textId="496133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F2414A" w14:paraId="71468B8E" w14:textId="40DC00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6EDAE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56EE48EE" w14:textId="30FBC1E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F2414A" w14:paraId="5363A10B" w14:textId="5316F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38835B84" w14:paraId="46ABBD8F" w14:textId="1C9CA3E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2"/>
        <w:gridCol w:w="7403"/>
      </w:tblGrid>
      <w:tr w:rsidRPr="006A1D6B" w:rsidR="00280766" w:rsidTr="2647E24A" w14:paraId="4AE6C53A" w14:textId="77777777">
        <w:tc>
          <w:tcPr>
            <w:tcW w:w="224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403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F2414A" w:rsidP="2647E24A" w:rsidRDefault="0146E5F8" w14:paraId="572439E1" w14:textId="3B46FF94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 xml:space="preserve">Zaliczenie: </w:t>
            </w:r>
            <w:r w:rsidRPr="2647E24A" w:rsidR="4652618D">
              <w:rPr>
                <w:rFonts w:ascii="Arial" w:hAnsi="Arial" w:cs="Arial"/>
                <w:sz w:val="20"/>
                <w:szCs w:val="20"/>
              </w:rPr>
              <w:t>n</w:t>
            </w:r>
            <w:r w:rsidRPr="2647E24A">
              <w:rPr>
                <w:rFonts w:ascii="Arial" w:hAnsi="Arial" w:cs="Arial"/>
                <w:sz w:val="20"/>
                <w:szCs w:val="20"/>
              </w:rPr>
              <w:t>a podstawie obecności. Dopuszczalne 3 nieobecności. W razie opuszczenia więcej niż 3 zajęć należy każde kolejne zaliczać ustnie.</w:t>
            </w:r>
          </w:p>
          <w:p w:rsidR="00F2414A" w:rsidP="2647E24A" w:rsidRDefault="0146E5F8" w14:paraId="298A395E" w14:textId="2C785325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Egzamin:</w:t>
            </w:r>
            <w:r w:rsidRPr="2647E24A" w:rsidR="1327F04D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2647E24A">
              <w:rPr>
                <w:rFonts w:ascii="Arial" w:hAnsi="Arial" w:cs="Arial"/>
                <w:sz w:val="20"/>
                <w:szCs w:val="20"/>
              </w:rPr>
              <w:t xml:space="preserve">ymagana jest </w:t>
            </w:r>
            <w:r w:rsidRPr="2647E24A" w:rsidR="63265161">
              <w:rPr>
                <w:rFonts w:ascii="Arial" w:hAnsi="Arial" w:cs="Arial"/>
                <w:sz w:val="20"/>
                <w:szCs w:val="20"/>
              </w:rPr>
              <w:t>wiedz</w:t>
            </w:r>
            <w:r w:rsidRPr="2647E24A" w:rsidR="4C34C5CF">
              <w:rPr>
                <w:rFonts w:ascii="Arial" w:hAnsi="Arial" w:cs="Arial"/>
                <w:sz w:val="20"/>
                <w:szCs w:val="20"/>
              </w:rPr>
              <w:t>a</w:t>
            </w:r>
            <w:r w:rsidRPr="2647E24A" w:rsidR="632651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47E24A" w:rsidR="1C027E2A">
              <w:rPr>
                <w:rFonts w:ascii="Arial" w:hAnsi="Arial" w:cs="Arial"/>
                <w:sz w:val="20"/>
                <w:szCs w:val="20"/>
              </w:rPr>
              <w:t xml:space="preserve">z całości 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>wykładów</w:t>
            </w:r>
            <w:r w:rsidRPr="2647E24A" w:rsidR="1C027E2A">
              <w:rPr>
                <w:rFonts w:ascii="Arial" w:hAnsi="Arial" w:cs="Arial"/>
                <w:sz w:val="20"/>
                <w:szCs w:val="20"/>
              </w:rPr>
              <w:t xml:space="preserve"> + 2 lektury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47E24A" w:rsidR="2473A152">
              <w:rPr>
                <w:rFonts w:ascii="Arial" w:hAnsi="Arial" w:cs="Arial"/>
                <w:sz w:val="20"/>
                <w:szCs w:val="20"/>
              </w:rPr>
              <w:t>+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jeden z podręczników</w:t>
            </w:r>
            <w:r w:rsidRPr="2647E24A" w:rsidR="3DC1AB0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2647E24A" w:rsidR="385401F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2414A" w:rsidP="2647E24A" w:rsidRDefault="385401F1" w14:paraId="64B352B0" w14:textId="4D0045A6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Egzamin ustny. Losowanie pytań.</w:t>
            </w:r>
          </w:p>
          <w:p w:rsidR="00F2414A" w:rsidP="00F2414A" w:rsidRDefault="1C027E2A" w14:paraId="27CA145A" w14:textId="147DC721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(od 2 do 5)</w:t>
            </w:r>
            <w:r w:rsidRPr="2647E24A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F2414A" w:rsidP="00F2414A" w:rsidRDefault="00F2414A" w14:paraId="09614374" w14:textId="5E1CFB64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647E24A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F2414A" w:rsidP="00F2414A" w:rsidRDefault="1C027E2A" w14:paraId="3F4BE2C6" w14:textId="1E19AB3A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Zajęcia są zaplanowane w formie zdalnej</w:t>
            </w:r>
            <w:r w:rsidRPr="2647E24A" w:rsidR="00AC035C">
              <w:rPr>
                <w:rFonts w:ascii="Arial" w:hAnsi="Arial" w:cs="Arial"/>
                <w:sz w:val="20"/>
                <w:szCs w:val="20"/>
              </w:rPr>
              <w:t xml:space="preserve"> (opcja stacjonarnie)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2647E24A" w:rsidR="008CE33B">
              <w:rPr>
                <w:rFonts w:ascii="Arial" w:hAnsi="Arial" w:cs="Arial"/>
                <w:sz w:val="20"/>
                <w:szCs w:val="20"/>
              </w:rPr>
              <w:t>Egzamin stacjonarnie.</w:t>
            </w:r>
          </w:p>
          <w:p w:rsidRPr="006A1D6B" w:rsidR="00280766" w:rsidRDefault="00280766" w14:paraId="62199465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6B468470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286EFD" w:rsidR="00F2414A" w:rsidP="00F2414A" w:rsidRDefault="00F2414A" w14:paraId="1066BCA8" w14:textId="77777777">
            <w:pPr>
              <w:jc w:val="both"/>
            </w:pPr>
            <w:r w:rsidRPr="00286EFD">
              <w:t>Józef I Bonaparte i Konstytucja z Kadyksu (1812)</w:t>
            </w:r>
          </w:p>
          <w:p w:rsidRPr="00790E72" w:rsidR="00F2414A" w:rsidP="00F2414A" w:rsidRDefault="00F2414A" w14:paraId="5060223E" w14:textId="29A8ACF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6B468470">
              <w:rPr>
                <w:lang w:val="es-ES"/>
              </w:rPr>
              <w:t>Francisco de Goya y Lucientes – ma</w:t>
            </w:r>
            <w:r w:rsidRPr="6B468470" w:rsidR="262A6322">
              <w:rPr>
                <w:lang w:val="es-ES"/>
              </w:rPr>
              <w:t>larz</w:t>
            </w:r>
            <w:r w:rsidRPr="6B468470">
              <w:rPr>
                <w:lang w:val="es-ES"/>
              </w:rPr>
              <w:t xml:space="preserve"> transformacji</w:t>
            </w:r>
          </w:p>
          <w:p w:rsidR="00F2414A" w:rsidP="00F2414A" w:rsidRDefault="00F2414A" w14:paraId="130E7A9E" w14:textId="77777777">
            <w:pPr>
              <w:jc w:val="both"/>
            </w:pPr>
            <w:r w:rsidRPr="009825D4">
              <w:t xml:space="preserve">Hiszpania za Ferdynanda VII - polityka zagraniczna, wewnętrzna, charakterystyka postaci króla i jego wpływ na bieg spraw państwa – walka pomiędzy absolutystami i liberałami o kształt ustrojowy państwa. </w:t>
            </w:r>
            <w:r w:rsidRPr="009825D4">
              <w:rPr>
                <w:i/>
              </w:rPr>
              <w:t>Paralela polsko-hiszpańska</w:t>
            </w:r>
            <w:r w:rsidRPr="009825D4">
              <w:t xml:space="preserve"> Joachima Lelewela</w:t>
            </w:r>
          </w:p>
          <w:p w:rsidRPr="009825D4" w:rsidR="00F2414A" w:rsidP="00F2414A" w:rsidRDefault="00F2414A" w14:paraId="2D82CDED" w14:textId="77777777">
            <w:pPr>
              <w:jc w:val="both"/>
            </w:pPr>
            <w:r w:rsidRPr="009825D4">
              <w:t xml:space="preserve">Regencja Marii Krystyny (1833-1842). Morganatyczny ślub regentki i jego dalekosiężne skutki (dla Hiszpanii i dla Polski) </w:t>
            </w:r>
          </w:p>
          <w:p w:rsidRPr="009825D4" w:rsidR="00F2414A" w:rsidP="00F2414A" w:rsidRDefault="00F2414A" w14:paraId="0E22BE5D" w14:textId="77777777">
            <w:pPr>
              <w:jc w:val="both"/>
            </w:pPr>
            <w:r w:rsidRPr="009825D4">
              <w:t>Władysław Czartoryski – założyciel Muzeum Czartoryskich w Krakowie i jego hiszpańska żona Maria Amparo Muñoz y de Borbón</w:t>
            </w:r>
          </w:p>
          <w:p w:rsidRPr="009825D4" w:rsidR="00F2414A" w:rsidP="00F2414A" w:rsidRDefault="00F2414A" w14:paraId="65EDB147" w14:textId="77777777">
            <w:pPr>
              <w:jc w:val="both"/>
            </w:pPr>
            <w:r w:rsidRPr="009825D4">
              <w:t xml:space="preserve">Panowanie Izabeli II (1833-1868) okresem transformacji Hiszpanii z ancien régime’u do liberalizmu (ewolucja ustrojowa, społeczna i gospodarcza). </w:t>
            </w:r>
            <w:r w:rsidRPr="009825D4">
              <w:rPr>
                <w:i/>
              </w:rPr>
              <w:t>POLONIA</w:t>
            </w:r>
            <w:r w:rsidRPr="009825D4">
              <w:t xml:space="preserve"> – frakcja hiszpańskiego moderantyzmu (umiarkowanych liberałów). Luis José Sartorius lider frakcji </w:t>
            </w:r>
            <w:r w:rsidRPr="009825D4">
              <w:rPr>
                <w:i/>
              </w:rPr>
              <w:t>Polonia</w:t>
            </w:r>
            <w:r w:rsidRPr="009825D4">
              <w:t xml:space="preserve"> (charakterystyka specyfiki ustroju i hiszpańskiej sceny politycznej) </w:t>
            </w:r>
          </w:p>
          <w:p w:rsidRPr="009825D4" w:rsidR="00F2414A" w:rsidP="00F2414A" w:rsidRDefault="00F2414A" w14:paraId="02D02BC9" w14:textId="7CDD3BF3">
            <w:pPr>
              <w:jc w:val="both"/>
            </w:pPr>
            <w:r w:rsidRPr="009825D4">
              <w:t xml:space="preserve">Rewolucja 1868-1874 (I Republika) + panowanie Amadeusza Sabaudzkiego i Alfonsa XII. </w:t>
            </w:r>
          </w:p>
          <w:p w:rsidRPr="009825D4" w:rsidR="00F2414A" w:rsidP="00F2414A" w:rsidRDefault="00F2414A" w14:paraId="072C679C" w14:textId="77777777">
            <w:pPr>
              <w:jc w:val="both"/>
            </w:pPr>
            <w:r w:rsidRPr="009825D4">
              <w:t xml:space="preserve">Alfons XIII – wojna ze Stanami Zjednoczonymi (1898) i jej dalekosiężne skutki. Generación 98 - </w:t>
            </w:r>
            <w:r w:rsidRPr="009825D4">
              <w:lastRenderedPageBreak/>
              <w:t xml:space="preserve">Miguel Unamuno – filozofia Unamuno odzwierciedleniem ducha hiszpańskiego dekadentyzmu przełomu XIX / XX w. Kryzys monarchii parlamentarnej (1900-1931) </w:t>
            </w:r>
          </w:p>
          <w:p w:rsidR="00F2414A" w:rsidP="00F2414A" w:rsidRDefault="00F2414A" w14:paraId="4D8F77E2" w14:textId="77777777">
            <w:pPr>
              <w:jc w:val="both"/>
            </w:pPr>
            <w:r w:rsidRPr="00780047">
              <w:t>Antonio Gaudi – genialny architekt kataloński epoki modernizmu - od natury do architektury (secesja i modernizm)</w:t>
            </w:r>
          </w:p>
          <w:p w:rsidRPr="009825D4" w:rsidR="00F2414A" w:rsidP="00F2414A" w:rsidRDefault="00F2414A" w14:paraId="13F6EA05" w14:textId="77777777">
            <w:pPr>
              <w:jc w:val="both"/>
            </w:pPr>
            <w:r w:rsidRPr="00B5324C">
              <w:rPr>
                <w:bCs/>
              </w:rPr>
              <w:t>Francisco</w:t>
            </w:r>
            <w:r w:rsidRPr="009825D4">
              <w:t xml:space="preserve"> Miranda - Simon Bolivar – José San Martín i powstawanie niepodległych państw w Ameryce Południowej </w:t>
            </w:r>
          </w:p>
          <w:p w:rsidRPr="009825D4" w:rsidR="00F2414A" w:rsidP="00F2414A" w:rsidRDefault="00F2414A" w14:paraId="027C6C9B" w14:textId="77777777">
            <w:pPr>
              <w:jc w:val="both"/>
            </w:pPr>
            <w:r w:rsidRPr="009825D4">
              <w:rPr>
                <w:lang w:val="es-ES"/>
              </w:rPr>
              <w:t xml:space="preserve">Meksyk republikański i cesarski (Miguel Hidalgo y Costilla - José María Morelos y Pavón - Augustín Iturbide - gen. </w:t>
            </w:r>
            <w:r w:rsidRPr="009825D4">
              <w:t xml:space="preserve">Santa Ana - Benito Juarez) </w:t>
            </w:r>
          </w:p>
          <w:p w:rsidRPr="009825D4" w:rsidR="00F2414A" w:rsidP="00F2414A" w:rsidRDefault="00F2414A" w14:paraId="7A5F1EEB" w14:textId="77777777">
            <w:pPr>
              <w:jc w:val="both"/>
            </w:pPr>
            <w:r w:rsidRPr="009825D4">
              <w:t xml:space="preserve">Cesarz Maksymilian I i szalona cesarzowa </w:t>
            </w:r>
          </w:p>
          <w:p w:rsidRPr="009825D4" w:rsidR="00F2414A" w:rsidP="00F2414A" w:rsidRDefault="00F2414A" w14:paraId="2E320873" w14:textId="77777777">
            <w:pPr>
              <w:jc w:val="both"/>
            </w:pPr>
            <w:r w:rsidRPr="009825D4">
              <w:t xml:space="preserve">Tajemnicza śmierć cesarza Maksymiliana w 1867 r. i jego „drugie wcielenie” w osobie Justo Armasa </w:t>
            </w:r>
          </w:p>
          <w:p w:rsidRPr="00AB0980" w:rsidR="00F2414A" w:rsidP="00F2414A" w:rsidRDefault="00F2414A" w14:paraId="507ADD8C" w14:textId="77777777">
            <w:pPr>
              <w:jc w:val="both"/>
            </w:pPr>
            <w:r w:rsidRPr="00AB0980">
              <w:t xml:space="preserve">II Republika (1931-1936) i wojna domowa (1936-1939) </w:t>
            </w:r>
          </w:p>
          <w:p w:rsidRPr="006A1D6B" w:rsidR="000A2EEC" w:rsidP="00F2414A" w:rsidRDefault="00F2414A" w14:paraId="0C8FE7CE" w14:textId="14921F6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0980">
              <w:t>Dyktatura gen. Francisco Franco (Franco jako mąż stanu i osoba prywatna)</w:t>
            </w: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B185D" w:rsidR="004A79FA" w:rsidP="006B185D" w:rsidRDefault="004A79FA" w14:paraId="582046E3" w14:textId="77777777">
            <w:pPr>
              <w:jc w:val="both"/>
              <w:rPr>
                <w:rFonts w:eastAsia="Calibri"/>
                <w:lang w:val="fr-FR" w:eastAsia="en-US"/>
              </w:rPr>
            </w:pPr>
            <w:r w:rsidRPr="006B185D">
              <w:rPr>
                <w:lang w:val="fr-FR"/>
              </w:rPr>
              <w:t>Miłkowski T., Machcewicz P</w:t>
            </w:r>
            <w:r w:rsidRPr="006B185D">
              <w:rPr>
                <w:i/>
                <w:lang w:val="fr-FR"/>
              </w:rPr>
              <w:t>., Historia Hiszpanii</w:t>
            </w:r>
            <w:r w:rsidRPr="006B185D">
              <w:rPr>
                <w:lang w:val="fr-FR"/>
              </w:rPr>
              <w:t xml:space="preserve">, Warszawa 1998 </w:t>
            </w:r>
          </w:p>
          <w:p w:rsidRPr="006B185D" w:rsidR="004A79FA" w:rsidP="006B185D" w:rsidRDefault="004A79FA" w14:paraId="694C4C27" w14:textId="77777777">
            <w:pPr>
              <w:jc w:val="both"/>
            </w:pPr>
            <w:r w:rsidRPr="006B185D">
              <w:rPr>
                <w:lang w:val="fr-FR"/>
              </w:rPr>
              <w:t xml:space="preserve">Tuñon de Lara M., Valdeón Baruque J., Domínguez Ortiz A., </w:t>
            </w:r>
            <w:r w:rsidRPr="006B185D">
              <w:rPr>
                <w:i/>
                <w:lang w:val="fr-FR"/>
              </w:rPr>
              <w:t>Historia Hiszpanii</w:t>
            </w:r>
            <w:r w:rsidRPr="006B185D">
              <w:rPr>
                <w:lang w:val="fr-FR"/>
              </w:rPr>
              <w:t>, przeł. Sz. Jędrusiak, Kraków 1997 i następne wydania</w:t>
            </w:r>
          </w:p>
          <w:p w:rsidRPr="006B185D" w:rsidR="000A2EEC" w:rsidP="006B185D" w:rsidRDefault="004A79FA" w14:paraId="797E50C6" w14:textId="2F125E45">
            <w:pPr>
              <w:rPr>
                <w:rFonts w:ascii="Arial" w:hAnsi="Arial" w:cs="Arial"/>
              </w:rPr>
            </w:pPr>
            <w:r w:rsidRPr="006B185D">
              <w:rPr>
                <w:i/>
                <w:lang w:val="fr-FR"/>
              </w:rPr>
              <w:t>Dzieje Ameryki Łacińskiej</w:t>
            </w:r>
            <w:r w:rsidRPr="006B185D">
              <w:rPr>
                <w:lang w:val="fr-FR"/>
              </w:rPr>
              <w:t>, t I (1750 – 1880) pod red. T. Łepkowskiego, Warszawa 1977,  t. II (1870/1880 – 1929) pod red. R. Mroziewicza i R. Stemplowskiego, Warszawa 1979, t III (1930-1975/1980) pod red. R. Stemplowskiego, Warszawa 1983</w:t>
            </w:r>
          </w:p>
          <w:p w:rsidRPr="006A1D6B" w:rsidR="000A2EEC" w:rsidP="005F5A3B" w:rsidRDefault="000A2EEC" w14:paraId="739F8B28" w14:textId="0AA200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B185D" w:rsidR="004A79FA" w:rsidP="004A79FA" w:rsidRDefault="004A79FA" w14:paraId="03205C2A" w14:textId="77777777">
            <w:r w:rsidRPr="006B185D">
              <w:t xml:space="preserve">Bachaud A., </w:t>
            </w:r>
            <w:r w:rsidRPr="006B185D">
              <w:rPr>
                <w:i/>
              </w:rPr>
              <w:t>Franco,</w:t>
            </w:r>
            <w:r w:rsidRPr="006B185D">
              <w:t xml:space="preserve"> przeł. W. Gilewski, Warszawa 2000.</w:t>
            </w:r>
          </w:p>
          <w:p w:rsidRPr="006B185D" w:rsidR="004A79FA" w:rsidP="004A79FA" w:rsidRDefault="004A79FA" w14:paraId="0B7C7082" w14:textId="77777777">
            <w:r w:rsidRPr="006B185D">
              <w:t xml:space="preserve">Chodkiewicz M.J., </w:t>
            </w:r>
            <w:r w:rsidRPr="006B185D">
              <w:rPr>
                <w:i/>
              </w:rPr>
              <w:t>Zagrabiona pamięć: wojna domowa w Hiszpanii 1936-1939</w:t>
            </w:r>
            <w:r w:rsidRPr="006B185D">
              <w:t>, Warszawa 1997.</w:t>
            </w:r>
          </w:p>
          <w:p w:rsidRPr="006B185D" w:rsidR="004A79FA" w:rsidP="004A79FA" w:rsidRDefault="004A79FA" w14:paraId="3FF4D603" w14:textId="77777777">
            <w:r w:rsidRPr="006B185D">
              <w:t xml:space="preserve">Fryd Norbert, </w:t>
            </w:r>
            <w:r w:rsidRPr="006B185D">
              <w:rPr>
                <w:i/>
              </w:rPr>
              <w:t>Cesarzowa</w:t>
            </w:r>
            <w:r w:rsidRPr="006B185D">
              <w:t>, Warszawa 1975.</w:t>
            </w:r>
          </w:p>
          <w:p w:rsidRPr="006B185D" w:rsidR="004A79FA" w:rsidP="004A79FA" w:rsidRDefault="004A79FA" w14:paraId="2EC3170F" w14:textId="77777777">
            <w:r w:rsidRPr="006B185D">
              <w:t xml:space="preserve">Gola B., </w:t>
            </w:r>
            <w:r w:rsidRPr="006B185D">
              <w:rPr>
                <w:i/>
              </w:rPr>
              <w:t>Dylematy krwi i sprawiedliwości. Hiszpańska wojna domowa 1936-1939 w myśli politycznej</w:t>
            </w:r>
            <w:r w:rsidRPr="006B185D">
              <w:rPr>
                <w:rStyle w:val="st"/>
              </w:rPr>
              <w:t xml:space="preserve"> </w:t>
            </w:r>
            <w:r w:rsidRPr="006B185D">
              <w:rPr>
                <w:rStyle w:val="st"/>
                <w:i/>
                <w:iCs/>
              </w:rPr>
              <w:t>i politologicznej,</w:t>
            </w:r>
            <w:r w:rsidRPr="006B185D">
              <w:rPr>
                <w:rStyle w:val="st"/>
              </w:rPr>
              <w:t xml:space="preserve"> Wrocław 1993.</w:t>
            </w:r>
            <w:r w:rsidRPr="006B185D">
              <w:rPr>
                <w:i/>
              </w:rPr>
              <w:t xml:space="preserve"> </w:t>
            </w:r>
          </w:p>
          <w:p w:rsidRPr="006B185D" w:rsidR="004A79FA" w:rsidP="004A79FA" w:rsidRDefault="004A79FA" w14:paraId="0D586D2C" w14:textId="77777777">
            <w:r w:rsidRPr="006B185D">
              <w:t xml:space="preserve">Lelewel J., </w:t>
            </w:r>
            <w:r w:rsidRPr="006B185D">
              <w:rPr>
                <w:i/>
              </w:rPr>
              <w:t>Historyczna paralela Hiszpanii z Polską w XVI, XVII, XVIII wieku</w:t>
            </w:r>
            <w:r w:rsidRPr="006B185D">
              <w:t>, wyd. nowe przygotował Jan Kieniewicz (2000).</w:t>
            </w:r>
          </w:p>
          <w:p w:rsidRPr="006B185D" w:rsidR="004A79FA" w:rsidP="004A79FA" w:rsidRDefault="004A79FA" w14:paraId="1460F8D8" w14:textId="77777777">
            <w:r w:rsidRPr="006B185D">
              <w:t xml:space="preserve">Łepkowski T., </w:t>
            </w:r>
            <w:r w:rsidRPr="006B185D">
              <w:rPr>
                <w:i/>
              </w:rPr>
              <w:t>Dwie biografie amerykańskie</w:t>
            </w:r>
            <w:r w:rsidRPr="006B185D">
              <w:t>, Warszawa 1979 [to jest o Bolivarze i Benito Juarezie]</w:t>
            </w:r>
          </w:p>
          <w:p w:rsidRPr="006B185D" w:rsidR="004A79FA" w:rsidP="004A79FA" w:rsidRDefault="004A79FA" w14:paraId="6737315C" w14:textId="77777777">
            <w:r w:rsidRPr="006B185D">
              <w:t xml:space="preserve">Łepkowski T., </w:t>
            </w:r>
            <w:r w:rsidRPr="006B185D">
              <w:rPr>
                <w:i/>
              </w:rPr>
              <w:t>Simon Bolivar</w:t>
            </w:r>
            <w:r w:rsidRPr="006B185D">
              <w:t>, Warszawa 1982</w:t>
            </w:r>
          </w:p>
          <w:p w:rsidRPr="006B185D" w:rsidR="004A79FA" w:rsidP="004A79FA" w:rsidRDefault="004A79FA" w14:paraId="4B6D8DC8" w14:textId="77777777">
            <w:r w:rsidRPr="006B185D">
              <w:t xml:space="preserve">Mularska Andziak, </w:t>
            </w:r>
            <w:r w:rsidRPr="006B185D">
              <w:rPr>
                <w:i/>
              </w:rPr>
              <w:t>Franco</w:t>
            </w:r>
            <w:r w:rsidRPr="006B185D">
              <w:t>, Londyn 1994.</w:t>
            </w:r>
          </w:p>
          <w:p w:rsidRPr="006B185D" w:rsidR="004A79FA" w:rsidP="004A79FA" w:rsidRDefault="004A79FA" w14:paraId="44E5190F" w14:textId="77777777">
            <w:r w:rsidRPr="006B185D">
              <w:t xml:space="preserve">Nowak J.R., </w:t>
            </w:r>
            <w:r w:rsidRPr="006B185D">
              <w:rPr>
                <w:i/>
              </w:rPr>
              <w:t>Hiszpania po wojnie domowej (1939-1971</w:t>
            </w:r>
            <w:r w:rsidRPr="006B185D">
              <w:t>), Warszawa 1972.</w:t>
            </w:r>
          </w:p>
          <w:p w:rsidRPr="006B185D" w:rsidR="004A79FA" w:rsidP="004A79FA" w:rsidRDefault="004A79FA" w14:paraId="23FF2167" w14:textId="77777777">
            <w:pPr>
              <w:jc w:val="both"/>
            </w:pPr>
            <w:r w:rsidRPr="006B185D">
              <w:t xml:space="preserve">Obtułowicz B., </w:t>
            </w:r>
            <w:r w:rsidRPr="006B185D">
              <w:rPr>
                <w:i/>
              </w:rPr>
              <w:t>Kobieta hiszpańska w dobie kształtowania się społeczeństwa liberalnego</w:t>
            </w:r>
            <w:r w:rsidRPr="006B185D">
              <w:t>, Wydawnictwo Naukowe Akademii Pedagogicznej, Kraków 2004</w:t>
            </w:r>
          </w:p>
          <w:p w:rsidRPr="006B185D" w:rsidR="004A79FA" w:rsidP="004A79FA" w:rsidRDefault="004A79FA" w14:paraId="0DB134CD" w14:textId="77777777">
            <w:pPr>
              <w:jc w:val="both"/>
              <w:rPr>
                <w:bCs/>
              </w:rPr>
            </w:pPr>
            <w:r w:rsidRPr="006B185D">
              <w:rPr>
                <w:bCs/>
                <w:lang w:val="es-ES"/>
              </w:rPr>
              <w:t xml:space="preserve">Obtułowicz B., </w:t>
            </w:r>
            <w:r w:rsidRPr="006B185D">
              <w:rPr>
                <w:bCs/>
                <w:i/>
                <w:lang w:val="es-ES"/>
              </w:rPr>
              <w:t xml:space="preserve">Luis José Sartorius, hrabia de San Luis. </w:t>
            </w:r>
            <w:r w:rsidRPr="006B185D">
              <w:rPr>
                <w:bCs/>
                <w:i/>
              </w:rPr>
              <w:t>“Polak”, który nie był Polakiem</w:t>
            </w:r>
            <w:r w:rsidRPr="006B185D">
              <w:rPr>
                <w:bCs/>
              </w:rPr>
              <w:t>, Wydawnictwo Naukowe Uniwersytetu Pedagogicznego, Kraków 2012</w:t>
            </w:r>
          </w:p>
          <w:p w:rsidRPr="006B185D" w:rsidR="004A79FA" w:rsidP="004A79FA" w:rsidRDefault="004A79FA" w14:paraId="624361C8" w14:textId="77777777">
            <w:pPr>
              <w:jc w:val="both"/>
              <w:rPr>
                <w:bCs/>
              </w:rPr>
            </w:pPr>
            <w:r w:rsidRPr="006B185D">
              <w:rPr>
                <w:bCs/>
                <w:lang w:val="es-ES"/>
              </w:rPr>
              <w:t>Obtułowicz B.,</w:t>
            </w:r>
            <w:r w:rsidRPr="006B185D">
              <w:rPr>
                <w:bCs/>
                <w:i/>
              </w:rPr>
              <w:t xml:space="preserve"> María Amparo Muñoz y de Borbón, księżna Czartoryska</w:t>
            </w:r>
            <w:r w:rsidRPr="006B185D">
              <w:rPr>
                <w:bCs/>
              </w:rPr>
              <w:t>, Universitas, Kraków 2013</w:t>
            </w:r>
          </w:p>
          <w:p w:rsidRPr="006B185D" w:rsidR="004A79FA" w:rsidP="004A79FA" w:rsidRDefault="004A79FA" w14:paraId="4E0B102B" w14:textId="77777777">
            <w:pPr>
              <w:jc w:val="both"/>
              <w:rPr>
                <w:bCs/>
              </w:rPr>
            </w:pPr>
            <w:r w:rsidRPr="006B185D">
              <w:rPr>
                <w:bCs/>
              </w:rPr>
              <w:t>Obtułowicz B</w:t>
            </w:r>
            <w:r w:rsidRPr="006B185D">
              <w:rPr>
                <w:bCs/>
                <w:i/>
                <w:iCs/>
              </w:rPr>
              <w:t>., Witold Adam książę Czartoryski (1822-1865</w:t>
            </w:r>
            <w:r w:rsidRPr="006B185D">
              <w:rPr>
                <w:bCs/>
              </w:rPr>
              <w:t>), Wyd. Naukowe UP, Kraków 2019.</w:t>
            </w:r>
          </w:p>
          <w:p w:rsidRPr="006B185D" w:rsidR="004A79FA" w:rsidP="004A79FA" w:rsidRDefault="004A79FA" w14:paraId="19782BA6" w14:textId="77777777">
            <w:pPr>
              <w:spacing w:line="276" w:lineRule="auto"/>
              <w:rPr>
                <w:lang w:eastAsia="en-US"/>
              </w:rPr>
            </w:pPr>
            <w:r w:rsidRPr="006B185D">
              <w:rPr>
                <w:i/>
                <w:lang w:eastAsia="en-US"/>
              </w:rPr>
              <w:t>Ochotnicy wolności. Księga wspomnień dąbrowszczaków</w:t>
            </w:r>
            <w:r w:rsidRPr="006B185D">
              <w:rPr>
                <w:lang w:eastAsia="en-US"/>
              </w:rPr>
              <w:t>, red. Z. Szleyen, Warszawa 1957.</w:t>
            </w:r>
          </w:p>
          <w:p w:rsidRPr="006B185D" w:rsidR="004A79FA" w:rsidP="004A79FA" w:rsidRDefault="004A79FA" w14:paraId="322F339B" w14:textId="77777777">
            <w:r w:rsidRPr="006B185D">
              <w:t xml:space="preserve">Sawicki P., </w:t>
            </w:r>
            <w:r w:rsidRPr="006B185D">
              <w:rPr>
                <w:i/>
              </w:rPr>
              <w:t>Hiszpania malowniczo-historyczna. Zapirenejskie wędrówki Polaków 1838-1930</w:t>
            </w:r>
            <w:r w:rsidRPr="006B185D">
              <w:t>, Wrocław 1996.</w:t>
            </w:r>
          </w:p>
          <w:p w:rsidRPr="006B185D" w:rsidR="004A79FA" w:rsidP="004A79FA" w:rsidRDefault="004A79FA" w14:paraId="57DB92E8" w14:textId="77777777">
            <w:r w:rsidRPr="006B185D">
              <w:t xml:space="preserve">Sawicki P., </w:t>
            </w:r>
            <w:r w:rsidRPr="006B185D">
              <w:rPr>
                <w:i/>
              </w:rPr>
              <w:t>Polacy a Hiszpanie. Ludzie, podróże, opinie</w:t>
            </w:r>
            <w:r w:rsidRPr="006B185D">
              <w:t>, Wrocław 1995.</w:t>
            </w:r>
          </w:p>
          <w:p w:rsidRPr="006A1D6B" w:rsidR="000A2EEC" w:rsidP="00F2414A" w:rsidRDefault="000A2EEC" w14:paraId="1C0157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26770CE" w14:textId="1E0304A3">
      <w:pPr>
        <w:rPr>
          <w:rFonts w:ascii="Arial" w:hAnsi="Arial" w:cs="Arial"/>
          <w:sz w:val="20"/>
          <w:szCs w:val="20"/>
        </w:rPr>
      </w:pPr>
    </w:p>
    <w:p w:rsidR="006B185D" w:rsidRDefault="006B185D" w14:paraId="74D59058" w14:textId="400F6379">
      <w:pPr>
        <w:rPr>
          <w:rFonts w:ascii="Arial" w:hAnsi="Arial" w:cs="Arial"/>
          <w:sz w:val="20"/>
          <w:szCs w:val="20"/>
        </w:rPr>
      </w:pPr>
    </w:p>
    <w:p w:rsidR="006B185D" w:rsidRDefault="006B185D" w14:paraId="2967FB31" w14:textId="151C3F4D">
      <w:pPr>
        <w:rPr>
          <w:rFonts w:ascii="Arial" w:hAnsi="Arial" w:cs="Arial"/>
          <w:sz w:val="20"/>
          <w:szCs w:val="20"/>
        </w:rPr>
      </w:pPr>
    </w:p>
    <w:p w:rsidR="006B185D" w:rsidRDefault="006B185D" w14:paraId="77B51ECC" w14:textId="7A6B704B">
      <w:pPr>
        <w:rPr>
          <w:rFonts w:ascii="Arial" w:hAnsi="Arial" w:cs="Arial"/>
          <w:sz w:val="20"/>
          <w:szCs w:val="20"/>
        </w:rPr>
      </w:pPr>
    </w:p>
    <w:p w:rsidRPr="006A1D6B" w:rsidR="006B185D" w:rsidRDefault="006B185D" w14:paraId="06BFD49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21E4D403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38645DC7" w14:textId="11711B9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4A79FA"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21E4D403" w14:paraId="6656ECA9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23D4B9D" w14:textId="5736C7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127E0475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78941E47" w14:textId="1667A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Pr="006A1D6B" w:rsidR="00280766" w:rsidTr="21E4D403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4C2A823A" w14:textId="2294332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21E4D403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40222584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58EE2916" w14:textId="06F22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  <w:r w:rsidR="004A79FA">
              <w:rPr>
                <w:rFonts w:ascii="Arial" w:hAnsi="Arial" w:eastAsia="Calibri" w:cs="Arial"/>
                <w:sz w:val="20"/>
                <w:szCs w:val="20"/>
              </w:rPr>
              <w:t>/egzaminu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41150DF2" w14:textId="1EEE447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50</w:t>
            </w:r>
          </w:p>
        </w:tc>
      </w:tr>
      <w:tr w:rsidRPr="006A1D6B" w:rsidR="00280766" w:rsidTr="21E4D403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68861898" w14:textId="758ED41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9</w:t>
            </w:r>
            <w:r w:rsidRPr="006A1D6B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21E4D403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7144751B" w14:textId="335581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0551D" w:rsidRDefault="0070551D" w14:paraId="5A53F43E" w14:textId="77777777">
      <w:r>
        <w:separator/>
      </w:r>
    </w:p>
  </w:endnote>
  <w:endnote w:type="continuationSeparator" w:id="0">
    <w:p w:rsidR="0070551D" w:rsidRDefault="0070551D" w14:paraId="2E728A9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0551D" w:rsidRDefault="0070551D" w14:paraId="6E1FDD94" w14:textId="77777777">
      <w:r>
        <w:separator/>
      </w:r>
    </w:p>
  </w:footnote>
  <w:footnote w:type="continuationSeparator" w:id="0">
    <w:p w:rsidR="0070551D" w:rsidRDefault="0070551D" w14:paraId="0DD530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FB549F"/>
    <w:multiLevelType w:val="hybridMultilevel"/>
    <w:tmpl w:val="5A20093E"/>
    <w:lvl w:ilvl="0" w:tplc="0A70AFC2">
      <w:start w:val="1"/>
      <w:numFmt w:val="decimal"/>
      <w:lvlText w:val="%1."/>
      <w:lvlJc w:val="left"/>
      <w:pPr>
        <w:ind w:left="720" w:hanging="360"/>
      </w:pPr>
    </w:lvl>
    <w:lvl w:ilvl="1" w:tplc="11FEC09A">
      <w:start w:val="1"/>
      <w:numFmt w:val="lowerLetter"/>
      <w:lvlText w:val="%2."/>
      <w:lvlJc w:val="left"/>
      <w:pPr>
        <w:ind w:left="1440" w:hanging="360"/>
      </w:pPr>
    </w:lvl>
    <w:lvl w:ilvl="2" w:tplc="5BFE8998">
      <w:start w:val="1"/>
      <w:numFmt w:val="lowerRoman"/>
      <w:lvlText w:val="%3."/>
      <w:lvlJc w:val="right"/>
      <w:pPr>
        <w:ind w:left="2160" w:hanging="180"/>
      </w:pPr>
    </w:lvl>
    <w:lvl w:ilvl="3" w:tplc="0CFC7C6E">
      <w:start w:val="1"/>
      <w:numFmt w:val="decimal"/>
      <w:lvlText w:val="%4."/>
      <w:lvlJc w:val="left"/>
      <w:pPr>
        <w:ind w:left="2880" w:hanging="360"/>
      </w:pPr>
    </w:lvl>
    <w:lvl w:ilvl="4" w:tplc="F02A25F8">
      <w:start w:val="1"/>
      <w:numFmt w:val="lowerLetter"/>
      <w:lvlText w:val="%5."/>
      <w:lvlJc w:val="left"/>
      <w:pPr>
        <w:ind w:left="3600" w:hanging="360"/>
      </w:pPr>
    </w:lvl>
    <w:lvl w:ilvl="5" w:tplc="DF208898">
      <w:start w:val="1"/>
      <w:numFmt w:val="lowerRoman"/>
      <w:lvlText w:val="%6."/>
      <w:lvlJc w:val="right"/>
      <w:pPr>
        <w:ind w:left="4320" w:hanging="180"/>
      </w:pPr>
    </w:lvl>
    <w:lvl w:ilvl="6" w:tplc="9AC4F764">
      <w:start w:val="1"/>
      <w:numFmt w:val="decimal"/>
      <w:lvlText w:val="%7."/>
      <w:lvlJc w:val="left"/>
      <w:pPr>
        <w:ind w:left="5040" w:hanging="360"/>
      </w:pPr>
    </w:lvl>
    <w:lvl w:ilvl="7" w:tplc="64E883BA">
      <w:start w:val="1"/>
      <w:numFmt w:val="lowerLetter"/>
      <w:lvlText w:val="%8."/>
      <w:lvlJc w:val="left"/>
      <w:pPr>
        <w:ind w:left="5760" w:hanging="360"/>
      </w:pPr>
    </w:lvl>
    <w:lvl w:ilvl="8" w:tplc="D4507A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089547771">
    <w:abstractNumId w:val="3"/>
  </w:num>
  <w:num w:numId="2" w16cid:durableId="1476023059">
    <w:abstractNumId w:val="1"/>
  </w:num>
  <w:num w:numId="3" w16cid:durableId="1221869316">
    <w:abstractNumId w:val="2"/>
  </w:num>
  <w:num w:numId="4" w16cid:durableId="561330177">
    <w:abstractNumId w:val="0"/>
  </w:num>
  <w:num w:numId="5" w16cid:durableId="1140999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A2EEC"/>
    <w:rsid w:val="000D0D32"/>
    <w:rsid w:val="000F77CB"/>
    <w:rsid w:val="001A074E"/>
    <w:rsid w:val="00275DC2"/>
    <w:rsid w:val="00280766"/>
    <w:rsid w:val="002A5ED5"/>
    <w:rsid w:val="002DF6E5"/>
    <w:rsid w:val="003118EE"/>
    <w:rsid w:val="0035281A"/>
    <w:rsid w:val="00456D8B"/>
    <w:rsid w:val="004979FF"/>
    <w:rsid w:val="004A79FA"/>
    <w:rsid w:val="005B22B7"/>
    <w:rsid w:val="005F5A3B"/>
    <w:rsid w:val="00635C5C"/>
    <w:rsid w:val="006A1D6B"/>
    <w:rsid w:val="006B185D"/>
    <w:rsid w:val="006B5BEF"/>
    <w:rsid w:val="006D2951"/>
    <w:rsid w:val="0070551D"/>
    <w:rsid w:val="00712ECF"/>
    <w:rsid w:val="00796E98"/>
    <w:rsid w:val="007A18BE"/>
    <w:rsid w:val="00872B1C"/>
    <w:rsid w:val="008C29C6"/>
    <w:rsid w:val="008CE33B"/>
    <w:rsid w:val="009444A5"/>
    <w:rsid w:val="00966FB9"/>
    <w:rsid w:val="00971A4F"/>
    <w:rsid w:val="009F1600"/>
    <w:rsid w:val="00AC035C"/>
    <w:rsid w:val="00B057CC"/>
    <w:rsid w:val="00B16BF2"/>
    <w:rsid w:val="00B50172"/>
    <w:rsid w:val="00C30355"/>
    <w:rsid w:val="00C915C1"/>
    <w:rsid w:val="00D17AF6"/>
    <w:rsid w:val="00D52123"/>
    <w:rsid w:val="00D716F1"/>
    <w:rsid w:val="00D74822"/>
    <w:rsid w:val="00D75A84"/>
    <w:rsid w:val="00DA31C6"/>
    <w:rsid w:val="00E8425D"/>
    <w:rsid w:val="00F2414A"/>
    <w:rsid w:val="00F473AF"/>
    <w:rsid w:val="00F84990"/>
    <w:rsid w:val="00FB28BF"/>
    <w:rsid w:val="0146E5F8"/>
    <w:rsid w:val="037F89B6"/>
    <w:rsid w:val="0415929B"/>
    <w:rsid w:val="04C9B4C8"/>
    <w:rsid w:val="07D65AB8"/>
    <w:rsid w:val="0815EC50"/>
    <w:rsid w:val="08D50A65"/>
    <w:rsid w:val="09445D86"/>
    <w:rsid w:val="09F6AEBA"/>
    <w:rsid w:val="0BE5867B"/>
    <w:rsid w:val="0D185065"/>
    <w:rsid w:val="1010BE08"/>
    <w:rsid w:val="10F93DA5"/>
    <w:rsid w:val="1327F04D"/>
    <w:rsid w:val="1490A6BE"/>
    <w:rsid w:val="15A2099E"/>
    <w:rsid w:val="17EA23A6"/>
    <w:rsid w:val="185C421C"/>
    <w:rsid w:val="1ADE7DA7"/>
    <w:rsid w:val="1C027E2A"/>
    <w:rsid w:val="1E1CF2C3"/>
    <w:rsid w:val="1F365A9C"/>
    <w:rsid w:val="1F6D7419"/>
    <w:rsid w:val="215A7F7C"/>
    <w:rsid w:val="21E4D403"/>
    <w:rsid w:val="2473A152"/>
    <w:rsid w:val="24B9C0EB"/>
    <w:rsid w:val="24DC3244"/>
    <w:rsid w:val="262A6322"/>
    <w:rsid w:val="2647E24A"/>
    <w:rsid w:val="2655914C"/>
    <w:rsid w:val="28602D72"/>
    <w:rsid w:val="2AB0031B"/>
    <w:rsid w:val="2B7CD655"/>
    <w:rsid w:val="2F431068"/>
    <w:rsid w:val="375C1E0A"/>
    <w:rsid w:val="385401F1"/>
    <w:rsid w:val="38835B84"/>
    <w:rsid w:val="3A8FE88F"/>
    <w:rsid w:val="3CF46143"/>
    <w:rsid w:val="3DC1AB07"/>
    <w:rsid w:val="3F307F7A"/>
    <w:rsid w:val="40ED31F2"/>
    <w:rsid w:val="420A2929"/>
    <w:rsid w:val="448EC84F"/>
    <w:rsid w:val="451ED017"/>
    <w:rsid w:val="4652618D"/>
    <w:rsid w:val="46C6FD18"/>
    <w:rsid w:val="46FE5B2C"/>
    <w:rsid w:val="4B1D05F7"/>
    <w:rsid w:val="4BDE363A"/>
    <w:rsid w:val="4C103172"/>
    <w:rsid w:val="4C34C5CF"/>
    <w:rsid w:val="4DAC01D3"/>
    <w:rsid w:val="50F37701"/>
    <w:rsid w:val="520875DB"/>
    <w:rsid w:val="53233C96"/>
    <w:rsid w:val="550CD9F1"/>
    <w:rsid w:val="574A2EFF"/>
    <w:rsid w:val="597F9D32"/>
    <w:rsid w:val="5C2CBDF9"/>
    <w:rsid w:val="5DADF31B"/>
    <w:rsid w:val="5F49E880"/>
    <w:rsid w:val="6032B6B3"/>
    <w:rsid w:val="620E98B2"/>
    <w:rsid w:val="63265161"/>
    <w:rsid w:val="64F2C973"/>
    <w:rsid w:val="6596563E"/>
    <w:rsid w:val="680071F2"/>
    <w:rsid w:val="697DF1F4"/>
    <w:rsid w:val="6B37F913"/>
    <w:rsid w:val="6B468470"/>
    <w:rsid w:val="6B4BB603"/>
    <w:rsid w:val="6BAEC1C0"/>
    <w:rsid w:val="6DA69025"/>
    <w:rsid w:val="7160D556"/>
    <w:rsid w:val="719E8F77"/>
    <w:rsid w:val="734EB6B5"/>
    <w:rsid w:val="75D708F3"/>
    <w:rsid w:val="76B4C33C"/>
    <w:rsid w:val="77C069A3"/>
    <w:rsid w:val="7B925FE0"/>
    <w:rsid w:val="7B9FD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  <w:style w:type="character" w:styleId="st" w:customStyle="1">
    <w:name w:val="st"/>
    <w:basedOn w:val="Domylnaczcionkaakapitu"/>
    <w:rsid w:val="004A7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9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748C568C-A92A-4071-A944-B0BAEE8ECF09}"/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20</revision>
  <lastPrinted>2012-01-27T16:28:00.0000000Z</lastPrinted>
  <dcterms:created xsi:type="dcterms:W3CDTF">2021-10-05T09:14:00.0000000Z</dcterms:created>
  <dcterms:modified xsi:type="dcterms:W3CDTF">2025-10-02T14:18:06.7422531Z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